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4990" w:type="pct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1664"/>
        <w:gridCol w:w="5756"/>
      </w:tblGrid>
      <w:tr w14:paraId="7D0A1F1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5000" w:type="pct"/>
            <w:gridSpan w:val="3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DEEBF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5041EA">
            <w:pPr>
              <w:pStyle w:val="5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标本配送机器人</w:t>
            </w:r>
          </w:p>
        </w:tc>
      </w:tr>
      <w:tr w14:paraId="1146450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63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DEEBF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61A37E">
            <w:pPr>
              <w:pStyle w:val="5"/>
              <w:jc w:val="center"/>
              <w:rPr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功能类型</w:t>
            </w:r>
          </w:p>
        </w:tc>
        <w:tc>
          <w:tcPr>
            <w:tcW w:w="979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DEEBF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9FD10A">
            <w:pPr>
              <w:pStyle w:val="5"/>
              <w:jc w:val="center"/>
              <w:rPr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3384" w:type="pct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DEEBF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EDE848">
            <w:pPr>
              <w:pStyle w:val="5"/>
              <w:jc w:val="center"/>
              <w:rPr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技术要求</w:t>
            </w:r>
          </w:p>
        </w:tc>
      </w:tr>
      <w:tr w14:paraId="5DFBB11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95D1CE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基础性能</w:t>
            </w:r>
          </w:p>
        </w:tc>
        <w:tc>
          <w:tcPr>
            <w:tcW w:w="979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AE3EF2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机器人尺寸</w:t>
            </w:r>
          </w:p>
        </w:tc>
        <w:tc>
          <w:tcPr>
            <w:tcW w:w="338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4C1567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≤1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0mm*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780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mm*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550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mm（长 *宽 *高）（不含货柜）</w:t>
            </w:r>
          </w:p>
        </w:tc>
      </w:tr>
      <w:tr w14:paraId="0EE6C7C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CEEAD0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894DB7">
            <w:pPr>
              <w:pStyle w:val="5"/>
              <w:jc w:val="both"/>
              <w:rPr>
                <w:rFonts w:hint="eastAsia" w:ascii="宋体" w:hAnsi="宋体" w:eastAsia="宋体" w:cs="宋体"/>
                <w:strike w:val="0"/>
                <w:dstrike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color w:val="auto"/>
                <w:sz w:val="20"/>
                <w:szCs w:val="20"/>
                <w:highlight w:val="none"/>
              </w:rPr>
              <w:t>机器外壳材质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994518">
            <w:pPr>
              <w:pStyle w:val="5"/>
              <w:jc w:val="both"/>
              <w:rPr>
                <w:rFonts w:hint="eastAsia" w:ascii="宋体" w:hAnsi="宋体" w:eastAsia="宋体" w:cs="宋体"/>
                <w:strike w:val="0"/>
                <w:dstrike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color w:val="auto"/>
                <w:sz w:val="20"/>
                <w:szCs w:val="20"/>
                <w:highlight w:val="none"/>
                <w:lang w:val="en-US" w:eastAsia="zh-CN"/>
              </w:rPr>
              <w:t>钣金材质</w:t>
            </w:r>
            <w:r>
              <w:rPr>
                <w:rFonts w:hint="eastAsia" w:ascii="宋体" w:hAnsi="宋体" w:eastAsia="宋体" w:cs="宋体"/>
                <w:strike w:val="0"/>
                <w:dstrike w:val="0"/>
                <w:color w:val="auto"/>
                <w:sz w:val="20"/>
                <w:szCs w:val="20"/>
                <w:highlight w:val="none"/>
              </w:rPr>
              <w:t>；表面涂层使用医用油漆</w:t>
            </w:r>
          </w:p>
        </w:tc>
      </w:tr>
      <w:tr w14:paraId="78FEE9B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DF317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EA07B1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爬坡能力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7A7919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≥8°</w:t>
            </w:r>
          </w:p>
        </w:tc>
      </w:tr>
      <w:tr w14:paraId="2174D40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7EA5B0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63EEDF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跨障高度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68F446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≥20mm</w:t>
            </w:r>
          </w:p>
        </w:tc>
      </w:tr>
      <w:tr w14:paraId="46870EA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F6587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ACF721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越坎宽度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0EC965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≥40mm</w:t>
            </w:r>
          </w:p>
        </w:tc>
      </w:tr>
      <w:tr w14:paraId="50E617B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35DBD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50A8FF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旋转角度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86A0A2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支持原地旋转</w:t>
            </w:r>
          </w:p>
        </w:tc>
      </w:tr>
      <w:tr w14:paraId="4340C12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CCE0B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90B416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转向速度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7F2134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≤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0°/s</w:t>
            </w:r>
          </w:p>
        </w:tc>
      </w:tr>
      <w:tr w14:paraId="7A6D721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18C7B7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03E5BF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工作环境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F9AE14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温度：0~50℃</w:t>
            </w:r>
          </w:p>
        </w:tc>
      </w:tr>
      <w:tr w14:paraId="053012C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CB5CB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EAB49F9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568B22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相对湿度：5~95%</w:t>
            </w:r>
          </w:p>
        </w:tc>
      </w:tr>
      <w:tr w14:paraId="24FE5BB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CA2E4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CC40AE">
            <w:pPr>
              <w:pStyle w:val="5"/>
              <w:jc w:val="both"/>
              <w:rPr>
                <w:rFonts w:hint="eastAsia" w:ascii="宋体" w:hAnsi="宋体" w:eastAsia="宋体" w:cs="宋体"/>
                <w:strike w:val="0"/>
                <w:dstrike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color w:val="auto"/>
                <w:sz w:val="20"/>
                <w:szCs w:val="20"/>
                <w:highlight w:val="none"/>
                <w:u w:val="none"/>
              </w:rPr>
              <w:t>扬声器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32224D">
            <w:pPr>
              <w:pStyle w:val="5"/>
              <w:jc w:val="both"/>
              <w:rPr>
                <w:rFonts w:hint="eastAsia" w:ascii="宋体" w:hAnsi="宋体" w:eastAsia="宋体" w:cs="宋体"/>
                <w:strike w:val="0"/>
                <w:dstrike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strike w:val="0"/>
                <w:dstrike w:val="0"/>
                <w:color w:val="auto"/>
                <w:sz w:val="20"/>
                <w:szCs w:val="20"/>
                <w:highlight w:val="none"/>
                <w:u w:val="none"/>
              </w:rPr>
              <w:t>数量≥2个</w:t>
            </w:r>
          </w:p>
        </w:tc>
      </w:tr>
      <w:tr w14:paraId="6A636B1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F56B5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E97424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通讯方式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8F7BE2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支持无公网/4G/5G和医院内网</w:t>
            </w:r>
          </w:p>
        </w:tc>
      </w:tr>
      <w:tr w14:paraId="4023659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AE710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1B7E29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门禁控制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F9DB82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支持门禁控制</w:t>
            </w:r>
          </w:p>
        </w:tc>
      </w:tr>
      <w:tr w14:paraId="4C77FC2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557189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D4ED61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▲传感器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21F923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种类包含但不限于2D激光雷达、3D激光雷达、超声波传感器、深度相机、视觉相机、IMU、舱外存取监控相机、舱内监控相机、RFID、气压计、红外识别相机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。</w:t>
            </w:r>
            <w:r>
              <w:rPr>
                <w:rFonts w:hint="eastAsia"/>
                <w:b/>
                <w:bCs/>
                <w:lang w:eastAsia="zh-CN"/>
              </w:rPr>
              <w:t>（提供产品介绍和设备配置截图）</w:t>
            </w:r>
          </w:p>
        </w:tc>
      </w:tr>
      <w:tr w14:paraId="6599003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C76C86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2CF0DA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状态指示灯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4F49B7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≥3种；包含但不限于网络指示灯、运行指示灯、电量指示灯等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。</w:t>
            </w:r>
          </w:p>
        </w:tc>
      </w:tr>
      <w:tr w14:paraId="2036695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4683A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6E5D42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自重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BA37E5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≤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150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kg</w:t>
            </w:r>
          </w:p>
        </w:tc>
      </w:tr>
      <w:tr w14:paraId="786C67B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AA71CC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3822EC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载重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2B9DC4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≥1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0kg</w:t>
            </w:r>
          </w:p>
        </w:tc>
      </w:tr>
      <w:tr w14:paraId="350932C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1C084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CAF14F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货柜容积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19D1E3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0L</w:t>
            </w:r>
          </w:p>
        </w:tc>
      </w:tr>
      <w:tr w14:paraId="3F98B0A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B7C20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EDC7D9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支持前进速度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E83003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0.8-1.2m/s</w:t>
            </w:r>
          </w:p>
        </w:tc>
      </w:tr>
      <w:tr w14:paraId="7078102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35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BCEDA9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导航定位</w:t>
            </w: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223AD">
            <w:pPr>
              <w:pStyle w:val="5"/>
              <w:jc w:val="both"/>
              <w:rPr>
                <w:rFonts w:hint="eastAsia" w:ascii="宋体" w:hAnsi="宋体" w:eastAsia="宋体" w:cs="宋体"/>
                <w:strike/>
                <w:dstrike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检测障碍物能力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EFD0C7">
            <w:pPr>
              <w:pStyle w:val="5"/>
              <w:jc w:val="both"/>
              <w:rPr>
                <w:rFonts w:hint="eastAsia" w:ascii="宋体" w:hAnsi="宋体" w:eastAsia="宋体" w:cs="宋体"/>
                <w:strike/>
                <w:dstrike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探测范围为（0-30）m；扫描角度为360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°</w:t>
            </w:r>
          </w:p>
        </w:tc>
      </w:tr>
      <w:tr w14:paraId="614AEF1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D5A14A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636A36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定位精度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A0AE3B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≤8mm</w:t>
            </w:r>
          </w:p>
        </w:tc>
      </w:tr>
      <w:tr w14:paraId="530BEED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44462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72007E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超声波传感器数量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92148D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个</w:t>
            </w:r>
          </w:p>
        </w:tc>
      </w:tr>
      <w:tr w14:paraId="49315A5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E5037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737A98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D激光雷达数量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F2CD57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≥1个</w:t>
            </w:r>
          </w:p>
        </w:tc>
      </w:tr>
      <w:tr w14:paraId="7F298A0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F92283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B7DFC9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3D激光雷达数量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86FA64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≥1个</w:t>
            </w:r>
          </w:p>
        </w:tc>
      </w:tr>
      <w:tr w14:paraId="7F7A856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385E6C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智能货柜</w:t>
            </w: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FA2259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柜门权限控制种类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2FC68F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≥2种；包含但不限于IC卡、用户密码等</w:t>
            </w:r>
          </w:p>
        </w:tc>
      </w:tr>
      <w:tr w14:paraId="3B31122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5EF091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AA89E1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柜门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FA3A8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送药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≥4门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送标本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6门</w:t>
            </w:r>
          </w:p>
        </w:tc>
      </w:tr>
      <w:tr w14:paraId="704FDCF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8F136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567278F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1BE0A8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标识：有清晰编号指示</w:t>
            </w:r>
          </w:p>
        </w:tc>
      </w:tr>
      <w:tr w14:paraId="119D564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3BECF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DF1EBE8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E8A6A3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位置：机身显示屏同一侧</w:t>
            </w:r>
          </w:p>
        </w:tc>
      </w:tr>
      <w:tr w14:paraId="4DDC6A1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3F3C9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8A07CB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货舱单元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5F3ABA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紧急开门装置：智能货柜的每个货舱单元具备紧急开门装置</w:t>
            </w:r>
          </w:p>
        </w:tc>
      </w:tr>
      <w:tr w14:paraId="4B4FE04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6147D4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ABABB6E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698D17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目的地自动识别：智能货柜的每个货舱单元的目的地自动识别</w:t>
            </w:r>
          </w:p>
        </w:tc>
      </w:tr>
      <w:tr w14:paraId="7F2CA08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45E7DF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7035863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EEDC3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收发权限管理；机器人到达目的地后只开相应目的地的舱门</w:t>
            </w:r>
          </w:p>
        </w:tc>
      </w:tr>
      <w:tr w14:paraId="0EAFE6C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933B43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4186B37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3BF77D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拍照取证：机器人收货或者发货时，可以自动进行拍照取证</w:t>
            </w:r>
          </w:p>
        </w:tc>
      </w:tr>
      <w:tr w14:paraId="56520F6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55D5D1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安全应急</w:t>
            </w: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DBD4A7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急停开关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CC173E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数量≥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个</w:t>
            </w:r>
          </w:p>
        </w:tc>
      </w:tr>
      <w:tr w14:paraId="7AC63B5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63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0042A9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90F02F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急停模式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E20FC8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机器人任务执行过程中具备急停模式，恢复之后可继续执行前序任务</w:t>
            </w:r>
          </w:p>
        </w:tc>
      </w:tr>
      <w:tr w14:paraId="15867E4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635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F58555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BD7D59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▲手动运动控制模式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E6EAC6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机器人任务执行过程中具备暂停模式，可在一段时间后自行恢复并执行前序任务。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（提供具备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CMA或CNAS资质的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第三方检测机构所出具的合格检测报告，加盖投标人公章）</w:t>
            </w:r>
          </w:p>
        </w:tc>
      </w:tr>
      <w:tr w14:paraId="513E982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35" w:type="pct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85D1377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E69295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防碰撞传感器</w:t>
            </w:r>
          </w:p>
        </w:tc>
        <w:tc>
          <w:tcPr>
            <w:tcW w:w="3384" w:type="pct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5A4366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机器人有防碰撞传感器</w:t>
            </w:r>
          </w:p>
        </w:tc>
      </w:tr>
      <w:tr w14:paraId="3F47EFC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3B970D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电源管理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233DEA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电池容量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078F5B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≥3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Ah</w:t>
            </w:r>
          </w:p>
        </w:tc>
      </w:tr>
      <w:tr w14:paraId="7C94A17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C516F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956A39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▲电池循环寿命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D3C87E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≥800次，满足服务期间正常使用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/>
                <w:bCs/>
                <w:strike w:val="0"/>
                <w:dstrike w:val="0"/>
                <w:color w:val="auto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提供具备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CMA或CNAS资质的</w:t>
            </w:r>
            <w:r>
              <w:rPr>
                <w:rFonts w:hint="eastAsia" w:ascii="宋体" w:hAnsi="宋体" w:eastAsia="宋体" w:cs="宋体"/>
                <w:b/>
                <w:bCs/>
                <w:strike w:val="0"/>
                <w:dstrike w:val="0"/>
                <w:color w:val="auto"/>
                <w:sz w:val="20"/>
                <w:szCs w:val="20"/>
                <w:highlight w:val="none"/>
                <w:lang w:eastAsia="zh-CN"/>
              </w:rPr>
              <w:t>第三方检测机构所出具的合格检测报告，加盖投标人公章）</w:t>
            </w:r>
          </w:p>
        </w:tc>
      </w:tr>
      <w:tr w14:paraId="22C9ED9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D52B1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0C6FAA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充电时长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D9339C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由5%电量充至90%电量，充电时间≤3h</w:t>
            </w:r>
          </w:p>
        </w:tc>
      </w:tr>
      <w:tr w14:paraId="3E4E5BE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0938C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D26A06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▲外壳温升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77A0E8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机器人持续运行2h，外表最高温升不高于15℃。</w:t>
            </w:r>
            <w:r>
              <w:rPr>
                <w:rFonts w:hint="eastAsia" w:ascii="宋体" w:hAnsi="宋体" w:eastAsia="宋体" w:cs="宋体"/>
                <w:b/>
                <w:bCs/>
                <w:strike w:val="0"/>
                <w:dstrike w:val="0"/>
                <w:color w:val="auto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提供具备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CMA或CNAS资质的</w:t>
            </w:r>
            <w:r>
              <w:rPr>
                <w:rFonts w:hint="eastAsia" w:ascii="宋体" w:hAnsi="宋体" w:eastAsia="宋体" w:cs="宋体"/>
                <w:b/>
                <w:bCs/>
                <w:strike w:val="0"/>
                <w:dstrike w:val="0"/>
                <w:color w:val="auto"/>
                <w:sz w:val="20"/>
                <w:szCs w:val="20"/>
                <w:highlight w:val="none"/>
                <w:lang w:eastAsia="zh-CN"/>
              </w:rPr>
              <w:t>第三方检测机构所出具的合格检测报告，加盖投标人公章）</w:t>
            </w:r>
          </w:p>
        </w:tc>
      </w:tr>
      <w:tr w14:paraId="732AFCF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B12E2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284F82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续航时间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74140E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满载≥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小时</w:t>
            </w:r>
          </w:p>
        </w:tc>
      </w:tr>
      <w:tr w14:paraId="6E6A540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49C5D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8276B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275935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空载≥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小时</w:t>
            </w:r>
          </w:p>
        </w:tc>
      </w:tr>
      <w:tr w14:paraId="6381A8B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F58537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人员服务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02D38D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信息化系统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E5146B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需具有与配送业务相匹配的信息化系统</w:t>
            </w:r>
          </w:p>
        </w:tc>
      </w:tr>
      <w:tr w14:paraId="09B08C0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353206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物流配送机器人</w:t>
            </w:r>
          </w:p>
        </w:tc>
      </w:tr>
      <w:tr w14:paraId="6BBF1BD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D3377A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功能类型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BE35D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C40779">
            <w:pPr>
              <w:pStyle w:val="5"/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技术要求</w:t>
            </w:r>
          </w:p>
        </w:tc>
      </w:tr>
      <w:tr w14:paraId="1127577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58AD09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基本功能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556E31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系统专属性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00BBA5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系统专为医院物资配送开发</w:t>
            </w:r>
          </w:p>
        </w:tc>
      </w:tr>
      <w:tr w14:paraId="76BB053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4E0769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06F1B8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基础模块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4C40B8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提供支持医院≥10种应用场景运输需求。（包含但不限于住院药品、检验标本、静配输液、高值耗材、手术室、消供中心等）</w:t>
            </w:r>
          </w:p>
        </w:tc>
      </w:tr>
      <w:tr w14:paraId="5C78D97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4E080A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E0A390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统计与预警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1C4EF9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全地图机器人检测功能、操作权限管理功能、自主路径规划功能、操作人员权限管理功能、应用场景设定功能。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（提供具备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CMA或CNAS资质的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第三方检测机构所出具的合格检测报告，加盖投标人公章）</w:t>
            </w:r>
          </w:p>
        </w:tc>
      </w:tr>
      <w:tr w14:paraId="61931DA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3E3304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设备及资产管理功能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6DFDE4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设备与权限管理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A759BC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具备运输站点、终端用户权限、院内所运行机器人的管理功能。</w:t>
            </w:r>
          </w:p>
        </w:tc>
      </w:tr>
      <w:tr w14:paraId="6C7D629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1BC1C6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F5EE87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资产管理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9F0F04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支持对机器人配套物联网设备模块具备管理功能，如智能货柜、门、电梯、通知设备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。</w:t>
            </w:r>
          </w:p>
        </w:tc>
      </w:tr>
      <w:tr w14:paraId="42D784D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611451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地图及运输路线规划功能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78CC40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实时规划路线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28BFE9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支持根据医院运输场景的需求，实时规划合理的运输路线。</w:t>
            </w:r>
          </w:p>
        </w:tc>
      </w:tr>
      <w:tr w14:paraId="45B0575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115389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E3C9DC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地图展示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ED2310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支持后台展示所有涉及到的地图信息。</w:t>
            </w:r>
          </w:p>
        </w:tc>
      </w:tr>
      <w:tr w14:paraId="4980FBB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AC7289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业务及资源规划功能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555C65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排班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DD2E14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支持医院运输场景的运输规划和编排，可按星期排班或按照指定日期排班。</w:t>
            </w:r>
          </w:p>
        </w:tc>
      </w:tr>
      <w:tr w14:paraId="55A39DB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DABC41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72F6FE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▲设置电梯模式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62A770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支持不同时段为电梯设置不同的工作模式，包括：自动和半自动（人工控制电梯），灵活适配不同医院对电梯的使用要求。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Hans"/>
              </w:rPr>
              <w:t>（提供配置界面截图）</w:t>
            </w:r>
          </w:p>
        </w:tc>
      </w:tr>
      <w:tr w14:paraId="7607883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816CAD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51CE5B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设置收发货类型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3412A6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支持根据运输场景的特点设置不同收发货类型，来满足医院不同场景的运输需求。</w:t>
            </w:r>
          </w:p>
        </w:tc>
      </w:tr>
      <w:tr w14:paraId="205A82A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FA8B7D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F54A12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软件接口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A4D753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提供软件接口，支持第三方系统接入，满足医院各种运输场景的解决方案。</w:t>
            </w:r>
          </w:p>
        </w:tc>
      </w:tr>
      <w:tr w14:paraId="2BFB0EE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79AE15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订单管理及机器人调度功能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037832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多下单模式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028DEE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支持PAD下单、物流机器人屏幕下单和PC端下单等多种订单提交方式。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提供具备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CMA或CNAS资质的第三方检测机构所出具的合格检测报告，加盖投标人公章）</w:t>
            </w:r>
          </w:p>
        </w:tc>
      </w:tr>
      <w:tr w14:paraId="744C961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A91A3F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817138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多收货点模式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679D9D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支持根据实际运输需求，可自动调度机器人一次发往一个或多个收货点。</w:t>
            </w:r>
          </w:p>
        </w:tc>
      </w:tr>
      <w:tr w14:paraId="5CB4379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B6BF9E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291F54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设置定时自动任务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E3BC6B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支持给指定机器人设置定时自动任务，减少人工重复操作。</w:t>
            </w:r>
          </w:p>
        </w:tc>
      </w:tr>
      <w:tr w14:paraId="75C08CA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F43FE7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BC7D93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订单管理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A5373E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支持跟踪订单的分配记录、发货记录、收件记录，并支持订单配送全过程的可视化跟踪。</w:t>
            </w:r>
          </w:p>
        </w:tc>
      </w:tr>
      <w:tr w14:paraId="7D9398A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C6523D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657DBA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F9644A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支持通过多种条件进行查询所有订单的功能，可实时导出历史订单的详细信息。支持在任意时间取消未配送完成的订单。</w:t>
            </w:r>
          </w:p>
        </w:tc>
      </w:tr>
      <w:tr w14:paraId="53892A9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923E1F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370C7E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订单插队置顶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28CBF4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支持在执行订单列表中，紧急订单插队置顶。</w:t>
            </w:r>
          </w:p>
        </w:tc>
      </w:tr>
      <w:tr w14:paraId="00B7E31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B364C6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2263E0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可扩容性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F5C321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为了满足未来机器人设备的扩增，支持根据机器人的投入运行数量进行扩容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，数量≥10台。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提供具备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CMA或CNAS资质的第三方检测机构所出具的合格检测报告，加盖投标人公章）</w:t>
            </w:r>
          </w:p>
        </w:tc>
      </w:tr>
      <w:tr w14:paraId="5FC6E58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6E9AFA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83A0AB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资源调度能力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4EDAD0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多机器人运行时，支持调度机器人排队、会车避让等。</w:t>
            </w:r>
          </w:p>
        </w:tc>
      </w:tr>
      <w:tr w14:paraId="3294648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D3FCF6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22816D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资源整合与分配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A980F2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支持配套门、电梯等物联设备的资源整合、分配功能，保障机器人运输过程高效、有序。</w:t>
            </w:r>
          </w:p>
        </w:tc>
      </w:tr>
      <w:tr w14:paraId="48F815C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E1136C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状态监控功能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C359A3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机器人状态监控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935D93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支持实时监控所有机器人运行状态及其所在楼层的位置信息；并对机器人的健康状态（电量、网络情况等）、配送状态（订单、位置、绕障/排队/脱困状态等），提供可视化提示信息界面。</w:t>
            </w:r>
          </w:p>
        </w:tc>
      </w:tr>
      <w:tr w14:paraId="1318850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2F35ED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C7BA4B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车道电梯状态可视化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93B45F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支持对车道资源、电梯资源的占用状态呈现可视化的界面，可实时查看机器人的使用状态。</w:t>
            </w:r>
          </w:p>
        </w:tc>
      </w:tr>
      <w:tr w14:paraId="3ADBE19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ED624E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8AE8EB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故障监控体系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B547BC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机器人故障时，支持通过短信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和电话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通知的方式实时进行报警。</w:t>
            </w:r>
          </w:p>
        </w:tc>
      </w:tr>
      <w:tr w14:paraId="04DE554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8D7D76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自动门调度功能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8A6F7F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过门调度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532E39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支持接收机器人过门指令，机器人过门过程中，自动门实时响应机器人的过门动作。</w:t>
            </w:r>
          </w:p>
        </w:tc>
      </w:tr>
      <w:tr w14:paraId="74A51C3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9D752F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0F76CB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防尾随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6D6271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支持机器人采用“防尾随”的方式进入指定区域，即：机器人到达指定的区域门口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，可通过电话、门铃或短信的方式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向管理人员发送“进门”请求，管理人员确认是机器人后，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由管理人员开门，放行机器人进入工作区域。</w:t>
            </w:r>
          </w:p>
        </w:tc>
      </w:tr>
      <w:tr w14:paraId="5AE035E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525444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电梯控制系统</w:t>
            </w:r>
          </w:p>
        </w:tc>
        <w:tc>
          <w:tcPr>
            <w:tcW w:w="97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EA26B7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电梯控制功能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503504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具备电梯控制功能，电梯可自主接收机器人乘梯需求，完成机器人乘梯任务；机器人进出电梯时，电梯控制系统能保持电梯门处于打开状态；机器人完成乘梯任务，电梯控制系统应自动释放电梯资源，电梯进入待命状态。</w:t>
            </w:r>
          </w:p>
        </w:tc>
      </w:tr>
      <w:tr w14:paraId="6A178CD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00484A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4AFF36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F387E2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机器人乘坐电梯期间，电梯控制系统需让电梯与所乘梯机器人保持通讯状态。</w:t>
            </w:r>
          </w:p>
        </w:tc>
      </w:tr>
      <w:tr w14:paraId="52DE3D4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959DB1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DCE587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乘梯异常处理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08079A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电梯控制系统具备电梯当前的运行状态监控；机器人在乘梯过程中出现异常，可释放电梯资源；电梯发生异常恢复后，能够重新响应机器人任务规划。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提供具备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CMA或CNAS资质的第三方检测机构所出具的合格检测报告，加盖投标人公章）</w:t>
            </w:r>
          </w:p>
        </w:tc>
      </w:tr>
      <w:tr w14:paraId="256AE5A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1A40AA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3690BD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DCC7DC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机器人乘梯过程中，在非目标楼层被人推出电梯时，机器人及时识别异常，并向后台发出报警。</w:t>
            </w:r>
          </w:p>
        </w:tc>
      </w:tr>
      <w:tr w14:paraId="12657A9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6C7F21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5057EB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电梯资源智能分配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807DF4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电梯控制系统支持依据机器人任务、电梯位置状态、电梯楼层信息等关键运行参数自主调度响应乘梯需求；当多台机器人呼叫同一部电梯，不同机器人按照先后次序、依优先等级依次乘坐电梯。</w:t>
            </w:r>
          </w:p>
        </w:tc>
      </w:tr>
      <w:tr w14:paraId="110D2B2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2902C1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大数据仪表展示平台</w:t>
            </w:r>
          </w:p>
        </w:tc>
        <w:tc>
          <w:tcPr>
            <w:tcW w:w="97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0F9ECE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机器人使用统计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BF11F6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支持全院机器人的应用大数据分析和统计展示。能够显示医院所运行机器人数量，支持按日、月、年统计所有机器人的总工作时长，累计运行时长，累计接单数量，累计配送科室数量。</w:t>
            </w:r>
          </w:p>
        </w:tc>
      </w:tr>
      <w:tr w14:paraId="17012E8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04B473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4C21D4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39412D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支持按月以图表的方式展示各科室机器人的使用情况。给医院管理人员提供数据支撑。</w:t>
            </w:r>
          </w:p>
        </w:tc>
      </w:tr>
      <w:tr w14:paraId="00E89B1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1ED88F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7C96E7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419E3F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支持展示机器人异常信息及发生时间。</w:t>
            </w:r>
          </w:p>
        </w:tc>
      </w:tr>
      <w:tr w14:paraId="4C0E227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845673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058FA1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BE187D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支持所有场景下机器人使用时段图。</w:t>
            </w:r>
          </w:p>
        </w:tc>
      </w:tr>
      <w:tr w14:paraId="7985931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FAE0EC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8BA9C1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订单信息展示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2C50C7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支持展示所有订单的任务数量，展示关键节点的时间信息，如接单时间、装货时间、卸货时间、签收时间。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提供具备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CMA或CNAS资质的第三方检测机构所出具的合格检测报告，加盖投标人公章）</w:t>
            </w:r>
          </w:p>
        </w:tc>
      </w:tr>
      <w:tr w14:paraId="4E3130C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B76B25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230232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机器人工作状态展示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325B70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支持展示所有机器人的工作状态，如待命状态、充电状态、运输状态、签收状态、异常状态。</w:t>
            </w:r>
          </w:p>
        </w:tc>
      </w:tr>
      <w:tr w14:paraId="0024317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5B6F83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7F77BC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机器人实时位置展示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152A2C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支持实时展示机器人的位置信息。</w:t>
            </w:r>
          </w:p>
        </w:tc>
      </w:tr>
      <w:tr w14:paraId="61A02AD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F70751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966055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运输效率展示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5A1B99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支持展示平均每个科室的运输时间，图表的形式展示物资运输效率。</w:t>
            </w:r>
          </w:p>
        </w:tc>
      </w:tr>
      <w:tr w14:paraId="28C9B58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76A918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收发货功能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09E1C6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一键呼车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CC1FF2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支持一键呼车，能够根据需要选择不同类型的机器人来运输物资</w:t>
            </w:r>
          </w:p>
        </w:tc>
      </w:tr>
      <w:tr w14:paraId="6766953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CA123D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7E8493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到站通知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82526D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发货时，机器人抵达目的后，发出请取出物品提示音。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提供具备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CMA或CNAS资质的第三方检测机构所出具的合格检测报告，加盖投标人公章）</w:t>
            </w:r>
          </w:p>
        </w:tc>
      </w:tr>
      <w:tr w14:paraId="549A0DF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A456B6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D03907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提醒警报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15B763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收货时，如打开的货舱中有多个货箱，操作人员没有全部取完，机器人发出提醒警报。</w:t>
            </w:r>
          </w:p>
        </w:tc>
      </w:tr>
      <w:tr w14:paraId="03BE3A4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CCBD19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自主充电功能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60B879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▲自主检测充电桩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564EB5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机器人可自主检测充电桩进行自主充电。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提供具备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CMA或CNAS资质的第三方检测机构所出具的合格检测报告，加盖投标人公章）</w:t>
            </w:r>
          </w:p>
        </w:tc>
      </w:tr>
      <w:tr w14:paraId="05C9D85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C6796F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FD69AB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自主返回充电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B1E65F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机器人充电时被人推下充电桩或因故脱离充电桩，可以自动再次返回充电。</w:t>
            </w:r>
          </w:p>
        </w:tc>
      </w:tr>
      <w:tr w14:paraId="4FB9E61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45F81E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运动定位及感知功能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48A2A4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自主构建地图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308436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支持自主构建业务场景地图</w:t>
            </w:r>
          </w:p>
        </w:tc>
      </w:tr>
      <w:tr w14:paraId="4AE0EA5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E9DDB1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9B5502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▲常见障碍物识别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5A75F6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支持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检测到医院常见的病床手推车、轮椅、输液杆、座椅、行人等障碍物，保障运行安全。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提供具备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CMA或CNAS资质的第三方检测机构所出具的合格检测报告，加盖投标人公章）</w:t>
            </w:r>
          </w:p>
        </w:tc>
      </w:tr>
      <w:tr w14:paraId="37E0AA6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5D21E0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244F5B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适应强光、黑暗环境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C4C415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机器人能在强光、黑暗等多种复杂环境稳定运行。</w:t>
            </w:r>
          </w:p>
        </w:tc>
      </w:tr>
      <w:tr w14:paraId="0BBCAE8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D219AF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65E2B8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悬空障碍物识别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FDFBE5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可识别出悬空物体。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提供具备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CMA或CNAS资质的第三方检测机构所出具的合格检测报告，加盖投标人公章）</w:t>
            </w:r>
          </w:p>
        </w:tc>
      </w:tr>
      <w:tr w14:paraId="0A49920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3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32D59E">
            <w:pPr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7E5971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检测反光障碍物</w:t>
            </w:r>
          </w:p>
        </w:tc>
        <w:tc>
          <w:tcPr>
            <w:tcW w:w="33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52AC35">
            <w:pPr>
              <w:pStyle w:val="5"/>
              <w:jc w:val="both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Hans"/>
              </w:rPr>
              <w:t>能够检测医院常见的高反光障碍物（镜面、不锈钢材质等）、低反光障碍物（黑色材质）</w:t>
            </w:r>
          </w:p>
        </w:tc>
      </w:tr>
    </w:tbl>
    <w:p w14:paraId="18DD84A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0F0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2026-06-16T09:45:31Z</dcterms:created>
  <dc:creator>Administrator</dc:creator>
  <cp:lastModifiedBy>华夏国际-招标部</cp:lastModifiedBy>
  <dcterms:modified xsi:type="dcterms:W3CDTF">2026-06-16T09:45:48Z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4D162EFA53BF4BF2BF20D7523631B129_12</vt:lpwstr>
  </property>
</Properties>
</file>